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BBE6C">
      <w:pPr>
        <w:widowControl/>
        <w:jc w:val="left"/>
        <w:rPr>
          <w:rFonts w:hint="default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附件2</w:t>
      </w:r>
    </w:p>
    <w:bookmarkEnd w:id="0"/>
    <w:tbl>
      <w:tblPr>
        <w:tblStyle w:val="8"/>
        <w:tblW w:w="100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00"/>
        <w:gridCol w:w="440"/>
        <w:gridCol w:w="100"/>
        <w:gridCol w:w="1420"/>
        <w:gridCol w:w="100"/>
        <w:gridCol w:w="1420"/>
        <w:gridCol w:w="2400"/>
        <w:gridCol w:w="100"/>
        <w:gridCol w:w="1200"/>
        <w:gridCol w:w="100"/>
      </w:tblGrid>
      <w:tr w14:paraId="1D482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B90FE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部门整体支出绩效目标表</w:t>
            </w:r>
          </w:p>
        </w:tc>
      </w:tr>
      <w:tr w14:paraId="5BAD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21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（2025年度）</w:t>
            </w:r>
          </w:p>
        </w:tc>
      </w:tr>
      <w:tr w14:paraId="51D6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FF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部门名称</w:t>
            </w:r>
          </w:p>
        </w:tc>
        <w:tc>
          <w:tcPr>
            <w:tcW w:w="83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E4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中国共产党张掖市纪律检查委员会</w:t>
            </w:r>
          </w:p>
        </w:tc>
      </w:tr>
      <w:tr w14:paraId="0F9A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FD77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上年预算情况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41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年初预算数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89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预算调整数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68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实际支出数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FA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执行率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9E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年末结转结余</w:t>
            </w:r>
          </w:p>
        </w:tc>
      </w:tr>
      <w:tr w14:paraId="2953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8D5DE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6F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2525.06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B5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3503.25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EE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3503.25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6C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57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17D0F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44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当年预算构成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83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D86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</w:tr>
      <w:tr w14:paraId="76DB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8F8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82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C8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上级拨款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FB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本级财政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BF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其它资金</w:t>
            </w:r>
          </w:p>
        </w:tc>
      </w:tr>
      <w:tr w14:paraId="0CE16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86A3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E0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2738.58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60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DB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2738.58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BE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40CFC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D82C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59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支出预算</w:t>
            </w:r>
          </w:p>
        </w:tc>
      </w:tr>
      <w:tr w14:paraId="5371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823F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73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D9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B0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公用经费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07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项目经费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0B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其他经费</w:t>
            </w:r>
          </w:p>
        </w:tc>
      </w:tr>
      <w:tr w14:paraId="2AF81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8D5E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32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2738.58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F2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2414.32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A1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324.26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D6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AC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1B48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AB55C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年度绩效目标</w:t>
            </w:r>
          </w:p>
        </w:tc>
        <w:tc>
          <w:tcPr>
            <w:tcW w:w="83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DB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目标1：忠实履行党章和宪法赋予的职责，强化政治监督，坚持把政治监督的根本放在捍卫“两个确立”、做到“两个维护”上，推进政治监督具体化精准化常态化。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目标2：坚定不移一体推进“三不腐”，加大案件查办力度，强化专项整治，做实以案促改。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目标3：持续整治群众身边的腐败和作风问题，维护群众切身利益。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目标4：充分发挥政治巡视巡察利剑作用，坚守政治巡察定位，完善巡察工作机制，强化巡察整改监督。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目标5：发扬自我革命精神锻造队伍，突出党建引领，突出实战培训，突出严管严治。</w:t>
            </w:r>
          </w:p>
        </w:tc>
      </w:tr>
      <w:tr w14:paraId="623E6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5DA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年度绩效指标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E2D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33684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A8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43B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目标值</w:t>
            </w:r>
          </w:p>
        </w:tc>
      </w:tr>
      <w:tr w14:paraId="4DDB2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2AC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3B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部门投入指标</w:t>
            </w:r>
          </w:p>
        </w:tc>
        <w:tc>
          <w:tcPr>
            <w:tcW w:w="1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66B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预算执行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23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非税收入预算完成率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28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100% </w:t>
            </w:r>
          </w:p>
        </w:tc>
      </w:tr>
      <w:tr w14:paraId="6C47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6F4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60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86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E2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政府采购执行率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FA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&gt;=100%</w:t>
            </w:r>
          </w:p>
        </w:tc>
      </w:tr>
      <w:tr w14:paraId="12D7F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24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9E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E7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8D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“三公经费”变动率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F08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&lt;=0%</w:t>
            </w:r>
          </w:p>
        </w:tc>
      </w:tr>
      <w:tr w14:paraId="4C5C0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DE6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90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87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E2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公用经费控制率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361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&lt;=100%</w:t>
            </w:r>
          </w:p>
        </w:tc>
      </w:tr>
      <w:tr w14:paraId="6C352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934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4E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FD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AA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结转结余率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14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&gt;=0%</w:t>
            </w:r>
          </w:p>
        </w:tc>
      </w:tr>
      <w:tr w14:paraId="4ED18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EFC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56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F8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EA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预算执行率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47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100%</w:t>
            </w:r>
          </w:p>
        </w:tc>
      </w:tr>
      <w:tr w14:paraId="6C361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EA4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B1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ED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23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预算调整率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42F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&lt;=10%</w:t>
            </w:r>
          </w:p>
        </w:tc>
      </w:tr>
      <w:tr w14:paraId="32D37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873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FC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76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58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支付进度符合率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18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100%</w:t>
            </w:r>
          </w:p>
        </w:tc>
      </w:tr>
      <w:tr w14:paraId="639BA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7B2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49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F1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预算管理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94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预算管理制度健全性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C5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健全</w:t>
            </w:r>
          </w:p>
        </w:tc>
      </w:tr>
      <w:tr w14:paraId="4E723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395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8B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BE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20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非税收入管理合规性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027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合理</w:t>
            </w:r>
          </w:p>
        </w:tc>
      </w:tr>
      <w:tr w14:paraId="08A6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F44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BF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88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46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预决算信息公开度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78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公开</w:t>
            </w:r>
          </w:p>
        </w:tc>
      </w:tr>
      <w:tr w14:paraId="14C3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F08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2D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E2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3A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绩效管理覆盖率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525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&gt;=100%</w:t>
            </w:r>
          </w:p>
        </w:tc>
      </w:tr>
      <w:tr w14:paraId="27A8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C81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CA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26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09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资金使用合规性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A2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合规</w:t>
            </w:r>
          </w:p>
        </w:tc>
      </w:tr>
      <w:tr w14:paraId="661DD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E337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年度绩效指标</w:t>
            </w:r>
          </w:p>
        </w:tc>
        <w:tc>
          <w:tcPr>
            <w:tcW w:w="1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1A9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部门投入指标</w:t>
            </w:r>
          </w:p>
        </w:tc>
        <w:tc>
          <w:tcPr>
            <w:tcW w:w="1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D3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资产管理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89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资产管理规范性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7C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规范</w:t>
            </w:r>
          </w:p>
        </w:tc>
      </w:tr>
      <w:tr w14:paraId="6E12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122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2D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BB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921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固定资产利用率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EE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&gt;=100%</w:t>
            </w:r>
          </w:p>
        </w:tc>
      </w:tr>
      <w:tr w14:paraId="5DBE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C77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23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1A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AF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资产管理制度健全性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6A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健全</w:t>
            </w:r>
          </w:p>
        </w:tc>
      </w:tr>
      <w:tr w14:paraId="545C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B6B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1E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6D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A0C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项目管理制度执行规范性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01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规范</w:t>
            </w:r>
          </w:p>
        </w:tc>
      </w:tr>
      <w:tr w14:paraId="63553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01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A7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04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5A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项目管理制度健全性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C8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健全</w:t>
            </w:r>
          </w:p>
        </w:tc>
      </w:tr>
      <w:tr w14:paraId="525A6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C36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57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B0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人员管理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C2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人员管理制度执行有效性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4B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有效</w:t>
            </w:r>
          </w:p>
        </w:tc>
      </w:tr>
      <w:tr w14:paraId="727FE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855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E4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7E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EFF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人员编制合规性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01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合规</w:t>
            </w:r>
          </w:p>
        </w:tc>
      </w:tr>
      <w:tr w14:paraId="6ACEB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257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B5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0F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EA0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人员管理制度健全性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E8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健全</w:t>
            </w:r>
          </w:p>
        </w:tc>
      </w:tr>
      <w:tr w14:paraId="09279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D6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年度绩效指标</w:t>
            </w:r>
          </w:p>
        </w:tc>
        <w:tc>
          <w:tcPr>
            <w:tcW w:w="1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10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部门履职指标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90B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强化政治监督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A7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开展日常监督检查、专项监督检查次数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513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&gt;50次</w:t>
            </w:r>
          </w:p>
        </w:tc>
      </w:tr>
      <w:tr w14:paraId="12908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58B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76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83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E6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开展专项整治治理及作风建设督查次数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7E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&gt;10次</w:t>
            </w:r>
          </w:p>
        </w:tc>
      </w:tr>
      <w:tr w14:paraId="5F5DE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73A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6A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2A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75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监督检查、整治治理工作质效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BA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效果显著</w:t>
            </w:r>
          </w:p>
        </w:tc>
      </w:tr>
      <w:tr w14:paraId="19C4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1A2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AD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F9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F6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监督检查、整治治理及时性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F8B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及时</w:t>
            </w:r>
          </w:p>
        </w:tc>
      </w:tr>
      <w:tr w14:paraId="2B1CF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3EF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59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66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加大案件查办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C1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办理问题线索数量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053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&gt;100个</w:t>
            </w:r>
          </w:p>
        </w:tc>
      </w:tr>
      <w:tr w14:paraId="1F37C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656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43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D9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441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问题线索处置率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6E0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100%</w:t>
            </w:r>
          </w:p>
        </w:tc>
      </w:tr>
      <w:tr w14:paraId="64DE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EB3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B6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3A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2F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案件查办质效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BC2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效果显著</w:t>
            </w:r>
          </w:p>
        </w:tc>
      </w:tr>
      <w:tr w14:paraId="7CF46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42C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35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77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80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案件办理及时性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9F2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及时</w:t>
            </w:r>
          </w:p>
        </w:tc>
      </w:tr>
      <w:tr w14:paraId="5F191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40F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B3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6D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开展政治巡察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95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开展年度巡察轮次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BC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&gt;=2</w:t>
            </w:r>
          </w:p>
        </w:tc>
      </w:tr>
      <w:tr w14:paraId="6E1C3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7BA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3C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0C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81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巡察工作质效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9C5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显著</w:t>
            </w:r>
          </w:p>
        </w:tc>
      </w:tr>
      <w:tr w14:paraId="5480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EFC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6A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FA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9F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巡察对象覆盖率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96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100%</w:t>
            </w:r>
          </w:p>
        </w:tc>
      </w:tr>
      <w:tr w14:paraId="16B68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F80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EC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0A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提升干部能力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45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干部教育培训人次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F5E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&gt;500</w:t>
            </w:r>
          </w:p>
        </w:tc>
      </w:tr>
      <w:tr w14:paraId="294C2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B3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BF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D7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35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教育培训效果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CF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显著</w:t>
            </w:r>
          </w:p>
        </w:tc>
      </w:tr>
      <w:tr w14:paraId="12F6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782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79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F5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0E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教育培训覆盖面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F8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全覆盖</w:t>
            </w:r>
          </w:p>
        </w:tc>
      </w:tr>
      <w:tr w14:paraId="7DF03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856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B8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部门效果指标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9D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04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为构建良好政治生态提供坚强纪律保障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32A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效果显著</w:t>
            </w:r>
          </w:p>
        </w:tc>
      </w:tr>
      <w:tr w14:paraId="1163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4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1B8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9C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88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573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保持惩治腐败高压态势，反腐败工作取得长足明显的进步。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CAF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效果显著</w:t>
            </w:r>
          </w:p>
        </w:tc>
      </w:tr>
      <w:tr w14:paraId="5B03B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9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26F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3A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2A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2A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实现惩处极少数、教育大多数的政治效果和社会效果。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72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显著</w:t>
            </w:r>
          </w:p>
        </w:tc>
      </w:tr>
      <w:tr w14:paraId="63D27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6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D7D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00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62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部门效益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EF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形成风清气正干事创业的良好氛围。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8CB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效果显著</w:t>
            </w:r>
          </w:p>
        </w:tc>
      </w:tr>
      <w:tr w14:paraId="7093D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76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C3B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82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06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95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提升纪律检查工作质效，打造高素质纪检监察队伍。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14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效果显著</w:t>
            </w:r>
          </w:p>
        </w:tc>
      </w:tr>
      <w:tr w14:paraId="7D2EF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981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C0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C41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72B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部门单位满意度率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15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&gt;=90%</w:t>
            </w:r>
          </w:p>
        </w:tc>
      </w:tr>
      <w:tr w14:paraId="143BC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585" w:hRule="atLeast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E3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其它需要说明的问题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5A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B8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10D5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E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97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EDC176A">
      <w:pPr>
        <w:widowControl/>
        <w:spacing w:line="480" w:lineRule="auto"/>
        <w:jc w:val="left"/>
        <w:rPr>
          <w:rFonts w:eastAsia="仿宋_GB2312" w:asciiTheme="minorHAnsi" w:hAnsiTheme="minorHAnsi"/>
          <w:sz w:val="18"/>
          <w:szCs w:val="1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903C9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rPr>
        <w:lang w:val="zh-CN"/>
      </w:rPr>
      <w:fldChar w:fldCharType="end"/>
    </w:r>
  </w:p>
  <w:p w14:paraId="6DDA46B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69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E4ED1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871AB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C6653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07288"/>
    <w:rsid w:val="003129FE"/>
    <w:rsid w:val="003322AC"/>
    <w:rsid w:val="00334AE1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94F5E"/>
    <w:rsid w:val="003A396F"/>
    <w:rsid w:val="003A68FD"/>
    <w:rsid w:val="003A7A18"/>
    <w:rsid w:val="003B3187"/>
    <w:rsid w:val="003B327A"/>
    <w:rsid w:val="003B4612"/>
    <w:rsid w:val="003B76D2"/>
    <w:rsid w:val="003D517C"/>
    <w:rsid w:val="003D6D41"/>
    <w:rsid w:val="003E3B0A"/>
    <w:rsid w:val="003F6659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22D2"/>
    <w:rsid w:val="00445789"/>
    <w:rsid w:val="00463FB8"/>
    <w:rsid w:val="00477A0D"/>
    <w:rsid w:val="00480A2F"/>
    <w:rsid w:val="00480B47"/>
    <w:rsid w:val="00481F19"/>
    <w:rsid w:val="00487BC0"/>
    <w:rsid w:val="00490FF8"/>
    <w:rsid w:val="00494BA6"/>
    <w:rsid w:val="004A1851"/>
    <w:rsid w:val="004B3066"/>
    <w:rsid w:val="004B337A"/>
    <w:rsid w:val="004B5538"/>
    <w:rsid w:val="004C3127"/>
    <w:rsid w:val="004D27C3"/>
    <w:rsid w:val="004D44D2"/>
    <w:rsid w:val="004D491E"/>
    <w:rsid w:val="004E3E51"/>
    <w:rsid w:val="004E51CB"/>
    <w:rsid w:val="004E625A"/>
    <w:rsid w:val="004F73BD"/>
    <w:rsid w:val="00502474"/>
    <w:rsid w:val="00515110"/>
    <w:rsid w:val="005205E8"/>
    <w:rsid w:val="00523062"/>
    <w:rsid w:val="00532434"/>
    <w:rsid w:val="00537019"/>
    <w:rsid w:val="0054271B"/>
    <w:rsid w:val="00545281"/>
    <w:rsid w:val="00551A39"/>
    <w:rsid w:val="00566585"/>
    <w:rsid w:val="00580A2F"/>
    <w:rsid w:val="00595197"/>
    <w:rsid w:val="005A2CB7"/>
    <w:rsid w:val="005B15C7"/>
    <w:rsid w:val="005B51EA"/>
    <w:rsid w:val="005C6B92"/>
    <w:rsid w:val="005D4933"/>
    <w:rsid w:val="005D72E4"/>
    <w:rsid w:val="005F4CC9"/>
    <w:rsid w:val="0060056E"/>
    <w:rsid w:val="006039C9"/>
    <w:rsid w:val="00605602"/>
    <w:rsid w:val="00605D22"/>
    <w:rsid w:val="00607B57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5696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1CA1"/>
    <w:rsid w:val="00714029"/>
    <w:rsid w:val="007203B6"/>
    <w:rsid w:val="007222C1"/>
    <w:rsid w:val="00725205"/>
    <w:rsid w:val="007354BF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A7B73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12B"/>
    <w:rsid w:val="008559B6"/>
    <w:rsid w:val="008559FD"/>
    <w:rsid w:val="00855E65"/>
    <w:rsid w:val="0085612E"/>
    <w:rsid w:val="00880868"/>
    <w:rsid w:val="00880D30"/>
    <w:rsid w:val="008811AD"/>
    <w:rsid w:val="008812FA"/>
    <w:rsid w:val="008A16AE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02AB"/>
    <w:rsid w:val="009D46B1"/>
    <w:rsid w:val="009E7F6E"/>
    <w:rsid w:val="009F2B6A"/>
    <w:rsid w:val="009F5541"/>
    <w:rsid w:val="00A01204"/>
    <w:rsid w:val="00A022BA"/>
    <w:rsid w:val="00A15E73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266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029D"/>
    <w:rsid w:val="00B85451"/>
    <w:rsid w:val="00B86006"/>
    <w:rsid w:val="00B86D86"/>
    <w:rsid w:val="00BA2A96"/>
    <w:rsid w:val="00BA5FE5"/>
    <w:rsid w:val="00BB6D97"/>
    <w:rsid w:val="00BC0B95"/>
    <w:rsid w:val="00BC1EE6"/>
    <w:rsid w:val="00BC1FD9"/>
    <w:rsid w:val="00BC30FF"/>
    <w:rsid w:val="00BC500D"/>
    <w:rsid w:val="00BD7FD7"/>
    <w:rsid w:val="00BF1606"/>
    <w:rsid w:val="00BF1647"/>
    <w:rsid w:val="00BF20C0"/>
    <w:rsid w:val="00BF5A25"/>
    <w:rsid w:val="00C06428"/>
    <w:rsid w:val="00C11347"/>
    <w:rsid w:val="00C13139"/>
    <w:rsid w:val="00C35018"/>
    <w:rsid w:val="00C40A34"/>
    <w:rsid w:val="00C4484E"/>
    <w:rsid w:val="00C46F7C"/>
    <w:rsid w:val="00C519B5"/>
    <w:rsid w:val="00C55EDB"/>
    <w:rsid w:val="00C56D24"/>
    <w:rsid w:val="00C573E9"/>
    <w:rsid w:val="00C729DA"/>
    <w:rsid w:val="00C764B7"/>
    <w:rsid w:val="00C90B56"/>
    <w:rsid w:val="00CA3F25"/>
    <w:rsid w:val="00CB4E5B"/>
    <w:rsid w:val="00CB5B9D"/>
    <w:rsid w:val="00CB6428"/>
    <w:rsid w:val="00CC01A5"/>
    <w:rsid w:val="00CC2134"/>
    <w:rsid w:val="00CC5430"/>
    <w:rsid w:val="00CD255A"/>
    <w:rsid w:val="00CE51A6"/>
    <w:rsid w:val="00D126EC"/>
    <w:rsid w:val="00D14955"/>
    <w:rsid w:val="00D24CD6"/>
    <w:rsid w:val="00D24FA6"/>
    <w:rsid w:val="00D32DED"/>
    <w:rsid w:val="00D544D2"/>
    <w:rsid w:val="00D660F8"/>
    <w:rsid w:val="00D744C5"/>
    <w:rsid w:val="00D758E8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B7A2A"/>
    <w:rsid w:val="00DC14B3"/>
    <w:rsid w:val="00DC399C"/>
    <w:rsid w:val="00DC7D6D"/>
    <w:rsid w:val="00DD2999"/>
    <w:rsid w:val="00DD2B43"/>
    <w:rsid w:val="00DD2CF8"/>
    <w:rsid w:val="00DD3C8C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8596A"/>
    <w:rsid w:val="00E9180B"/>
    <w:rsid w:val="00EA0646"/>
    <w:rsid w:val="00EA2BA4"/>
    <w:rsid w:val="00EA3103"/>
    <w:rsid w:val="00EB15C1"/>
    <w:rsid w:val="00EC325A"/>
    <w:rsid w:val="00EC3A8E"/>
    <w:rsid w:val="00EC3DD5"/>
    <w:rsid w:val="00EC57F0"/>
    <w:rsid w:val="00ED68AF"/>
    <w:rsid w:val="00ED78D5"/>
    <w:rsid w:val="00EF2E7C"/>
    <w:rsid w:val="00F01A6E"/>
    <w:rsid w:val="00F11811"/>
    <w:rsid w:val="00F20178"/>
    <w:rsid w:val="00F23C6C"/>
    <w:rsid w:val="00F24BC8"/>
    <w:rsid w:val="00F25045"/>
    <w:rsid w:val="00F305FC"/>
    <w:rsid w:val="00F30F3E"/>
    <w:rsid w:val="00F32002"/>
    <w:rsid w:val="00F4605D"/>
    <w:rsid w:val="00F51EF5"/>
    <w:rsid w:val="00F7490E"/>
    <w:rsid w:val="00F74928"/>
    <w:rsid w:val="00F8197E"/>
    <w:rsid w:val="00F833B1"/>
    <w:rsid w:val="00F87D90"/>
    <w:rsid w:val="00F90495"/>
    <w:rsid w:val="00FA30C2"/>
    <w:rsid w:val="00FA4179"/>
    <w:rsid w:val="00FB4362"/>
    <w:rsid w:val="00FB53A1"/>
    <w:rsid w:val="00FB53F4"/>
    <w:rsid w:val="00FD30CF"/>
    <w:rsid w:val="00FD4D90"/>
    <w:rsid w:val="00FE0E46"/>
    <w:rsid w:val="00FF0AEC"/>
    <w:rsid w:val="00FF1DF4"/>
    <w:rsid w:val="00FF4165"/>
    <w:rsid w:val="039F4141"/>
    <w:rsid w:val="113741D2"/>
    <w:rsid w:val="1D34261E"/>
    <w:rsid w:val="2CF83A3F"/>
    <w:rsid w:val="527E074E"/>
    <w:rsid w:val="579503FF"/>
    <w:rsid w:val="57FA213C"/>
    <w:rsid w:val="60535296"/>
    <w:rsid w:val="72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qFormat/>
    <w:uiPriority w:val="0"/>
    <w:rPr>
      <w:b/>
      <w:bCs/>
    </w:rPr>
  </w:style>
  <w:style w:type="character" w:styleId="10">
    <w:name w:val="line number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sz w:val="18"/>
      <w:szCs w:val="18"/>
    </w:rPr>
  </w:style>
  <w:style w:type="character" w:customStyle="1" w:styleId="13">
    <w:name w:val="页眉 Char"/>
    <w:link w:val="6"/>
    <w:uiPriority w:val="0"/>
    <w:rPr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</Pages>
  <Words>5147</Words>
  <Characters>5612</Characters>
  <Lines>84</Lines>
  <Paragraphs>23</Paragraphs>
  <TotalTime>466</TotalTime>
  <ScaleCrop>false</ScaleCrop>
  <LinksUpToDate>false</LinksUpToDate>
  <CharactersWithSpaces>5643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Administrator</cp:lastModifiedBy>
  <cp:lastPrinted>2025-01-25T09:33:00Z</cp:lastPrinted>
  <dcterms:modified xsi:type="dcterms:W3CDTF">2025-01-27T02:11:24Z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AEF627BA18CA4F1B8F1096D610438EA1_13</vt:lpwstr>
  </property>
  <property fmtid="{D5CDD505-2E9C-101B-9397-08002B2CF9AE}" pid="4" name="KSOTemplateDocerSaveRecord">
    <vt:lpwstr>eyJoZGlkIjoiZjVlNjA5YzczOWYzYzBjY2ZiYmI4MTE3NWVmNDI4ZDcifQ==</vt:lpwstr>
  </property>
</Properties>
</file>